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464BE3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6E6DD1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6E6DD1">
        <w:rPr>
          <w:rFonts w:ascii="Times New Roman" w:hAnsi="Times New Roman" w:cs="Times New Roman"/>
          <w:sz w:val="28"/>
          <w:szCs w:val="28"/>
        </w:rPr>
        <w:t>Зубцовского района</w:t>
      </w:r>
      <w:r w:rsidRPr="007F1F6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 w:rsidR="006E6DD1">
        <w:rPr>
          <w:rFonts w:ascii="Times New Roman" w:hAnsi="Times New Roman" w:cs="Times New Roman"/>
          <w:sz w:val="28"/>
          <w:szCs w:val="28"/>
        </w:rPr>
        <w:t>Зубцовский район</w:t>
      </w:r>
      <w:r w:rsidRPr="007F1F6A">
        <w:rPr>
          <w:rFonts w:ascii="Times New Roman" w:hAnsi="Times New Roman" w:cs="Times New Roman"/>
          <w:sz w:val="28"/>
          <w:szCs w:val="28"/>
        </w:rPr>
        <w:t xml:space="preserve">» за </w:t>
      </w:r>
      <w:r w:rsidR="00464BE3">
        <w:rPr>
          <w:rFonts w:ascii="Times New Roman" w:hAnsi="Times New Roman" w:cs="Times New Roman"/>
          <w:sz w:val="28"/>
          <w:szCs w:val="28"/>
        </w:rPr>
        <w:t>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0A109B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A109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B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64BE3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</w:t>
      </w:r>
      <w:r w:rsidR="006E6DD1" w:rsidRPr="00464BE3">
        <w:rPr>
          <w:rFonts w:ascii="Times New Roman" w:hAnsi="Times New Roman" w:cs="Times New Roman"/>
          <w:sz w:val="24"/>
          <w:szCs w:val="24"/>
        </w:rPr>
        <w:t>брания</w:t>
      </w:r>
      <w:r w:rsidR="007F1F6A" w:rsidRPr="00464BE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 w:rsidRPr="00464BE3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7F1F6A" w:rsidRPr="00464BE3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464BE3" w:rsidRPr="009E6761" w:rsidRDefault="00464BE3" w:rsidP="00464BE3">
      <w:r>
        <w:t xml:space="preserve">               П</w:t>
      </w:r>
      <w:r w:rsidRPr="009E6761">
        <w:t>о данным уточненного бюджета, сумма налоговых и неналоговых доходов планировалась в размере 119 958 652 руб., фактическое исполнение по этой части бюджета составило</w:t>
      </w:r>
      <w:r>
        <w:t xml:space="preserve"> </w:t>
      </w:r>
      <w:r w:rsidRPr="009E6761">
        <w:t>117 456 785,80 руб. от запланированной суммы (97,91 %), недовыполнение составило 2 501 866,20 руб. (2,09 %).</w:t>
      </w:r>
    </w:p>
    <w:p w:rsidR="00464BE3" w:rsidRPr="009E6761" w:rsidRDefault="00464BE3" w:rsidP="00464BE3">
      <w:r w:rsidRPr="009E6761">
        <w:t xml:space="preserve">               В общей сумме налоговых и неналоговых доходов в 2016 году по плану приходилось на долю налоговых доходов – 80,24 %, а на долю неналоговых доходов – 19,76 %, фактически на долю налоговых доходов пришлось – 76,40 %, а на долю неналоговых доходов – 23,60 %.</w:t>
      </w:r>
    </w:p>
    <w:p w:rsidR="00464BE3" w:rsidRPr="00A02F30" w:rsidRDefault="00464BE3" w:rsidP="00464BE3">
      <w:r w:rsidRPr="00A02F30">
        <w:t xml:space="preserve">               Сумма налоговых доходов планировалась в размере 96 259 592 руб., фактическое исполнение по этой части бюджета составило 89 736 164,43 руб. (93,22 %), недовыполнение составило 6 523 427,57 руб. (6,78 %). </w:t>
      </w:r>
    </w:p>
    <w:p w:rsidR="00464BE3" w:rsidRPr="00464BE3" w:rsidRDefault="00464BE3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B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3">
        <w:rPr>
          <w:rFonts w:ascii="Times New Roman" w:hAnsi="Times New Roman" w:cs="Times New Roman"/>
          <w:sz w:val="24"/>
          <w:szCs w:val="24"/>
        </w:rPr>
        <w:t xml:space="preserve">   Сумма неналоговых доходов планировалась в объеме 23 699 060 руб., а фактическое исполнение составило 27 720 621,37 руб. (116,97 %), рост составил 4 021 561,37 руб. (16,97 %).</w:t>
      </w:r>
    </w:p>
    <w:p w:rsidR="00464BE3" w:rsidRPr="00C17FB3" w:rsidRDefault="00464BE3" w:rsidP="00464BE3">
      <w:r w:rsidRPr="00C17FB3">
        <w:t xml:space="preserve">              </w:t>
      </w:r>
      <w:r>
        <w:t xml:space="preserve"> Безвозмездные поступления </w:t>
      </w:r>
      <w:r w:rsidRPr="00C17FB3">
        <w:t>планировались в объеме 197 837 171 руб., фактическое исполнение составило 193 702 588,79 руб. (97,91 %), недовыполнение составило 4 134 582,21 руб. (2,09 %).</w:t>
      </w:r>
    </w:p>
    <w:p w:rsidR="00464BE3" w:rsidRPr="00C0469B" w:rsidRDefault="00464BE3" w:rsidP="00464BE3">
      <w:r w:rsidRPr="00C0469B">
        <w:t xml:space="preserve">              </w:t>
      </w:r>
      <w:r>
        <w:t xml:space="preserve">  </w:t>
      </w:r>
      <w:r w:rsidRPr="00C0469B">
        <w:t>В общей сумме доходов удельный вес:</w:t>
      </w:r>
    </w:p>
    <w:p w:rsidR="00464BE3" w:rsidRPr="00C0469B" w:rsidRDefault="00464BE3" w:rsidP="00464BE3">
      <w:r w:rsidRPr="00C0469B">
        <w:t xml:space="preserve">                - налоговых доходов: при плане – 30,29 %, фактически составил – 28,84 %, снижение составило – 1,45 %;</w:t>
      </w:r>
    </w:p>
    <w:p w:rsidR="00464BE3" w:rsidRPr="00C0469B" w:rsidRDefault="00464BE3" w:rsidP="00464BE3">
      <w:r w:rsidRPr="00C0469B">
        <w:t xml:space="preserve">                - неналоговые доходы: при плане – 7,46 %, фактически составил – 8,91 %, рост составил – 1,45 %;</w:t>
      </w:r>
    </w:p>
    <w:p w:rsidR="00464BE3" w:rsidRPr="00C0469B" w:rsidRDefault="00464BE3" w:rsidP="00464BE3">
      <w:r w:rsidRPr="00C0469B">
        <w:t xml:space="preserve">                - безвозмездные поступления: при плане – 62,25 %, фактически составил – </w:t>
      </w:r>
    </w:p>
    <w:p w:rsidR="00464BE3" w:rsidRPr="00C0469B" w:rsidRDefault="00464BE3" w:rsidP="00464BE3">
      <w:r w:rsidRPr="00C0469B">
        <w:t>62,25 %.</w:t>
      </w:r>
    </w:p>
    <w:p w:rsidR="00464BE3" w:rsidRDefault="00464BE3" w:rsidP="006E6DD1">
      <w:pPr>
        <w:rPr>
          <w:color w:val="FF0000"/>
        </w:rPr>
      </w:pPr>
    </w:p>
    <w:p w:rsidR="00464BE3" w:rsidRPr="00587E99" w:rsidRDefault="006E6DD1" w:rsidP="00464BE3">
      <w:r w:rsidRPr="00464BE3">
        <w:rPr>
          <w:color w:val="FF0000"/>
        </w:rPr>
        <w:t xml:space="preserve">              </w:t>
      </w:r>
      <w:r w:rsidR="00464BE3" w:rsidRPr="00587E99">
        <w:t xml:space="preserve"> Расходы бюджета муниципального образования «Зубцовский район» на 2016 год были запланированы в объеме 314 833 723 руб., фактическое исполнение составило</w:t>
      </w:r>
    </w:p>
    <w:p w:rsidR="00464BE3" w:rsidRPr="00587E99" w:rsidRDefault="00464BE3" w:rsidP="00464BE3">
      <w:r w:rsidRPr="00587E99">
        <w:t xml:space="preserve">306 982 114,01 руб. (97,51 %), недофинансирование составило 7 851 608,99 руб. (2,49 %).   </w:t>
      </w:r>
    </w:p>
    <w:p w:rsidR="00464BE3" w:rsidRPr="004D3062" w:rsidRDefault="00464BE3" w:rsidP="00464BE3">
      <w:r w:rsidRPr="004D3062">
        <w:t xml:space="preserve">                 В общей сумме расходов удельный вес по разделам:</w:t>
      </w:r>
    </w:p>
    <w:p w:rsidR="00464BE3" w:rsidRPr="004D3062" w:rsidRDefault="00464BE3" w:rsidP="00464BE3">
      <w:r w:rsidRPr="004D3062">
        <w:t xml:space="preserve">                - «Общегосударственные расходы»: при плане  -  9,0 %, фактически составил – 8,73 %, снижение составило – 0,27 %;</w:t>
      </w:r>
    </w:p>
    <w:p w:rsidR="00464BE3" w:rsidRPr="004D3062" w:rsidRDefault="00464BE3" w:rsidP="00464BE3">
      <w:r w:rsidRPr="004D3062">
        <w:t xml:space="preserve">                - «Национальная безопасность и правоохранительная деятельность»: при плане – 0,56 %, фактически составил – 0,56 %;</w:t>
      </w:r>
    </w:p>
    <w:p w:rsidR="00464BE3" w:rsidRPr="002871CA" w:rsidRDefault="00464BE3" w:rsidP="00464BE3">
      <w:r w:rsidRPr="002871CA">
        <w:t xml:space="preserve">                - «Национальная экономика»: при плане – 5,62 %, фактически составил –  5,61 %, снижение составило – 0,01 %;</w:t>
      </w:r>
    </w:p>
    <w:p w:rsidR="00464BE3" w:rsidRPr="009E6761" w:rsidRDefault="00464BE3" w:rsidP="00464BE3">
      <w:pPr>
        <w:rPr>
          <w:color w:val="0000FF"/>
        </w:rPr>
      </w:pPr>
      <w:r w:rsidRPr="002871CA">
        <w:t xml:space="preserve">                - «Жилищно-коммунальное хозяйство»: при плане – 0,26 %, фактически составил – 0,23%, снижение составило – 0,03 %;</w:t>
      </w:r>
    </w:p>
    <w:p w:rsidR="00464BE3" w:rsidRPr="002871CA" w:rsidRDefault="00464BE3" w:rsidP="00464BE3">
      <w:r w:rsidRPr="002871CA">
        <w:t xml:space="preserve">                - «Образование»: при плане – 71,19 %, фактически составил – 71,54 %, рост составил – 0,35 %;</w:t>
      </w:r>
    </w:p>
    <w:p w:rsidR="00464BE3" w:rsidRPr="002871CA" w:rsidRDefault="00464BE3" w:rsidP="00464BE3">
      <w:r w:rsidRPr="002871CA">
        <w:t xml:space="preserve">            </w:t>
      </w:r>
      <w:r>
        <w:t xml:space="preserve">    - «Культура и </w:t>
      </w:r>
      <w:r w:rsidRPr="002871CA">
        <w:t xml:space="preserve">кинематография»: при плане – 6,31 %, фактически составил – </w:t>
      </w:r>
    </w:p>
    <w:p w:rsidR="00464BE3" w:rsidRPr="002871CA" w:rsidRDefault="00464BE3" w:rsidP="00464BE3">
      <w:r w:rsidRPr="002871CA">
        <w:t>6,28 %, снижение составило  – 0,03 %;</w:t>
      </w:r>
    </w:p>
    <w:p w:rsidR="00464BE3" w:rsidRPr="002871CA" w:rsidRDefault="00464BE3" w:rsidP="00464BE3">
      <w:r w:rsidRPr="002871CA">
        <w:t xml:space="preserve">                - «Социальная политика»: при плане – 5,51 %, фактически составил – 5,47 %, снижение составило – 0,04 %;</w:t>
      </w:r>
    </w:p>
    <w:p w:rsidR="00464BE3" w:rsidRPr="002871CA" w:rsidRDefault="00464BE3" w:rsidP="00464BE3">
      <w:r w:rsidRPr="002871CA">
        <w:t xml:space="preserve">                - «Физическая культура и спорт»: при плане – 0,16 %, фактически составил – 0,16%;</w:t>
      </w:r>
    </w:p>
    <w:p w:rsidR="00464BE3" w:rsidRPr="002871CA" w:rsidRDefault="00464BE3" w:rsidP="00464BE3">
      <w:r w:rsidRPr="002871CA">
        <w:t xml:space="preserve">                - «Средства массовой информации»: при плане – 0,47 %, фактически составил – 0,48 %, рост составил - 0,01 %;</w:t>
      </w:r>
    </w:p>
    <w:p w:rsidR="00464BE3" w:rsidRPr="002871CA" w:rsidRDefault="00464BE3" w:rsidP="00464BE3">
      <w:r w:rsidRPr="002871CA">
        <w:lastRenderedPageBreak/>
        <w:t xml:space="preserve">                - «Обслуживание государственного и муниципального долга»: при плане – </w:t>
      </w:r>
    </w:p>
    <w:p w:rsidR="00464BE3" w:rsidRPr="002871CA" w:rsidRDefault="00464BE3" w:rsidP="00464BE3">
      <w:r w:rsidRPr="002871CA">
        <w:t>0,04 %, фактически составил – 0,04 %;</w:t>
      </w:r>
    </w:p>
    <w:p w:rsidR="00464BE3" w:rsidRPr="002871CA" w:rsidRDefault="00464BE3" w:rsidP="00464BE3">
      <w:r w:rsidRPr="002871CA">
        <w:t xml:space="preserve">                - «Межбюджетные трансферты общего характера бюджетам субъектов Российской Федера</w:t>
      </w:r>
      <w:r>
        <w:t>ции и муниципальных образований</w:t>
      </w:r>
      <w:r w:rsidRPr="002871CA">
        <w:t xml:space="preserve">»: при плане – 0,88 %, фактически составил – 0,90 %, рост составил – 0,02 %.  </w:t>
      </w:r>
    </w:p>
    <w:p w:rsidR="00464BE3" w:rsidRPr="002871CA" w:rsidRDefault="00464BE3" w:rsidP="00464BE3">
      <w:r w:rsidRPr="002871CA">
        <w:t xml:space="preserve">                Из вышеперечисленного можно сделать вывод, что исполнение бюджета муниципального образования «Зубцовский район» имеет социальную направленность.</w:t>
      </w:r>
    </w:p>
    <w:p w:rsidR="00464BE3" w:rsidRDefault="00464BE3" w:rsidP="00464BE3">
      <w:pPr>
        <w:rPr>
          <w:b/>
        </w:rPr>
      </w:pPr>
      <w:r w:rsidRPr="007E31F7">
        <w:rPr>
          <w:b/>
        </w:rPr>
        <w:t xml:space="preserve">             </w:t>
      </w:r>
    </w:p>
    <w:p w:rsidR="00464BE3" w:rsidRDefault="00464BE3" w:rsidP="00464BE3">
      <w:r>
        <w:rPr>
          <w:b/>
        </w:rPr>
        <w:t xml:space="preserve">              </w:t>
      </w:r>
      <w:r w:rsidRPr="007E31F7">
        <w:rPr>
          <w:b/>
        </w:rPr>
        <w:t xml:space="preserve">  </w:t>
      </w:r>
      <w:r w:rsidRPr="007E31F7">
        <w:t>Бюджет муниципального образования «Зубцовский район» на 2016 год планировался с превышением доходов над расходами (</w:t>
      </w:r>
      <w:proofErr w:type="spellStart"/>
      <w:r w:rsidRPr="007E31F7">
        <w:t>профицитом</w:t>
      </w:r>
      <w:proofErr w:type="spellEnd"/>
      <w:r w:rsidRPr="007E31F7">
        <w:t xml:space="preserve">) в объеме </w:t>
      </w:r>
    </w:p>
    <w:p w:rsidR="00464BE3" w:rsidRPr="007E31F7" w:rsidRDefault="00464BE3" w:rsidP="00464BE3">
      <w:r w:rsidRPr="007E31F7">
        <w:t>2 774 100 руб., фактически финансовый год был закончен с превышением доходов над расходами (</w:t>
      </w:r>
      <w:proofErr w:type="spellStart"/>
      <w:r w:rsidRPr="007E31F7">
        <w:t>профицитом</w:t>
      </w:r>
      <w:proofErr w:type="spellEnd"/>
      <w:r w:rsidRPr="007E31F7">
        <w:t xml:space="preserve">) в объеме 4 177 260,58 руб. </w:t>
      </w:r>
    </w:p>
    <w:p w:rsidR="00464BE3" w:rsidRPr="00845193" w:rsidRDefault="00464BE3" w:rsidP="00464BE3">
      <w:r w:rsidRPr="00845193">
        <w:t xml:space="preserve">               Согласно информации Финансового отдела Администрации Зубцовского района, </w:t>
      </w:r>
      <w:proofErr w:type="spellStart"/>
      <w:r w:rsidRPr="00845193">
        <w:t>профицит</w:t>
      </w:r>
      <w:proofErr w:type="spellEnd"/>
      <w:r w:rsidRPr="00845193">
        <w:t xml:space="preserve"> бюджета в размере 4 177 260,58 руб. образовался:</w:t>
      </w:r>
    </w:p>
    <w:p w:rsidR="00464BE3" w:rsidRPr="00845193" w:rsidRDefault="00464BE3" w:rsidP="00464BE3">
      <w:r w:rsidRPr="00845193">
        <w:t xml:space="preserve">               1. За счет остатков целевых средств 2016 года из областного бюджета на счетах бюджета в сумме 152 265,40 руб., в том числе: </w:t>
      </w:r>
    </w:p>
    <w:p w:rsidR="00464BE3" w:rsidRPr="00845193" w:rsidRDefault="00464BE3" w:rsidP="00464BE3">
      <w:r w:rsidRPr="00845193">
        <w:t xml:space="preserve">               - </w:t>
      </w:r>
      <w:proofErr w:type="gramStart"/>
      <w:r w:rsidRPr="00845193">
        <w:t>по 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</w:t>
      </w:r>
      <w:proofErr w:type="gramEnd"/>
      <w:r w:rsidRPr="00845193">
        <w:t xml:space="preserve"> и ликвидации болезней животных, их лечению, отлову и содержанию безнадзорных животных, защите населения от болезней, общих для человека и животных в сумме 68 414,01 руб.;</w:t>
      </w:r>
    </w:p>
    <w:p w:rsidR="00464BE3" w:rsidRPr="00845193" w:rsidRDefault="00464BE3" w:rsidP="00464BE3">
      <w:r w:rsidRPr="00845193">
        <w:t xml:space="preserve">                - по субвенции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сумме 3,19 руб.; </w:t>
      </w:r>
    </w:p>
    <w:p w:rsidR="00464BE3" w:rsidRPr="00845193" w:rsidRDefault="00464BE3" w:rsidP="00464BE3">
      <w:r w:rsidRPr="00845193">
        <w:t xml:space="preserve">                - по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7 077,03 руб.;          </w:t>
      </w:r>
    </w:p>
    <w:p w:rsidR="00464BE3" w:rsidRPr="00845193" w:rsidRDefault="00464BE3" w:rsidP="00464BE3">
      <w:r w:rsidRPr="00845193">
        <w:t xml:space="preserve">                - по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сумме </w:t>
      </w:r>
    </w:p>
    <w:p w:rsidR="00464BE3" w:rsidRPr="00845193" w:rsidRDefault="00464BE3" w:rsidP="00464BE3">
      <w:r w:rsidRPr="00845193">
        <w:t>76 697,01 руб.;</w:t>
      </w:r>
    </w:p>
    <w:p w:rsidR="00464BE3" w:rsidRPr="004902EA" w:rsidRDefault="00464BE3" w:rsidP="00464BE3">
      <w:r w:rsidRPr="004902EA">
        <w:t xml:space="preserve">                 - по 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(в  том числе раздельному сбору), транспорти</w:t>
      </w:r>
      <w:r>
        <w:t>рованию, обработке, утилизации,</w:t>
      </w:r>
      <w:r w:rsidRPr="004902EA">
        <w:t xml:space="preserve"> захоронению твердых коммунальных отходов в сумме 74,16 руб.</w:t>
      </w:r>
    </w:p>
    <w:p w:rsidR="00464BE3" w:rsidRPr="004902EA" w:rsidRDefault="00464BE3" w:rsidP="00464BE3">
      <w:r w:rsidRPr="004902EA">
        <w:t xml:space="preserve">                2. Остатков собственных средств бюджета Зубцовского района в сумме 3 764 331,88 руб.      </w:t>
      </w:r>
    </w:p>
    <w:p w:rsidR="00464BE3" w:rsidRPr="009E6761" w:rsidRDefault="00464BE3" w:rsidP="00464BE3">
      <w:pPr>
        <w:rPr>
          <w:color w:val="0000FF"/>
        </w:rPr>
      </w:pPr>
    </w:p>
    <w:p w:rsidR="00464BE3" w:rsidRPr="00E0737E" w:rsidRDefault="00464BE3" w:rsidP="00464BE3">
      <w:r w:rsidRPr="00E0737E">
        <w:t xml:space="preserve">              В бюджете муниципального образования на 2016 год привлечение заемных средств не планировалось, фактически заемные средства не привлекались.</w:t>
      </w:r>
    </w:p>
    <w:p w:rsidR="00464BE3" w:rsidRPr="00E0737E" w:rsidRDefault="00464BE3" w:rsidP="00464BE3">
      <w:r w:rsidRPr="00E0737E">
        <w:t xml:space="preserve">              Погашение долговых обязательств в 2016 году планировалось в объеме </w:t>
      </w:r>
    </w:p>
    <w:p w:rsidR="00464BE3" w:rsidRPr="00E0737E" w:rsidRDefault="00464BE3" w:rsidP="00464BE3">
      <w:r w:rsidRPr="00E0737E">
        <w:t xml:space="preserve">6 000 000 руб., фактически погашение долговых обязательств составило 6 000 000 руб., в том числе: </w:t>
      </w:r>
    </w:p>
    <w:p w:rsidR="00464BE3" w:rsidRDefault="00464BE3" w:rsidP="00464BE3">
      <w:r w:rsidRPr="00E0737E">
        <w:t xml:space="preserve">               - Министерству Финансов Тверской области по договору № 14 от 25.12.2014 года о предоставлении из областного бюджета Тверской области бюджетного кредита в сумме 6 000 000 руб.</w:t>
      </w:r>
    </w:p>
    <w:p w:rsidR="00464BE3" w:rsidRDefault="00464BE3" w:rsidP="00464BE3"/>
    <w:p w:rsidR="0054367D" w:rsidRPr="00464BE3" w:rsidRDefault="00E320A7" w:rsidP="00464BE3">
      <w:r w:rsidRPr="00464BE3">
        <w:t xml:space="preserve">   </w:t>
      </w:r>
      <w:r w:rsidR="004C5C0F" w:rsidRPr="00464BE3">
        <w:t xml:space="preserve">            </w:t>
      </w:r>
      <w:r w:rsidRPr="00464BE3">
        <w:rPr>
          <w:b/>
        </w:rPr>
        <w:t xml:space="preserve">По результатам экспертно-аналитического мероприятия </w:t>
      </w:r>
      <w:r w:rsidRPr="00464BE3">
        <w:t>подготовлено заключение на</w:t>
      </w:r>
      <w:r w:rsidR="00D05B13" w:rsidRPr="00464BE3">
        <w:t xml:space="preserve"> </w:t>
      </w:r>
      <w:r w:rsidR="004C5C0F" w:rsidRPr="00464BE3">
        <w:t>проект</w:t>
      </w:r>
      <w:r w:rsidR="00D05B13" w:rsidRPr="00464BE3">
        <w:t xml:space="preserve"> решения Со</w:t>
      </w:r>
      <w:r w:rsidR="006E6DD1" w:rsidRPr="00464BE3">
        <w:t xml:space="preserve">брания </w:t>
      </w:r>
      <w:r w:rsidR="00D05B13" w:rsidRPr="00464BE3">
        <w:t xml:space="preserve">депутатов </w:t>
      </w:r>
      <w:r w:rsidR="006E6DD1" w:rsidRPr="00464BE3">
        <w:t>Зубцовского района</w:t>
      </w:r>
      <w:r w:rsidR="0054367D" w:rsidRPr="00464BE3">
        <w:t xml:space="preserve"> </w:t>
      </w:r>
      <w:r w:rsidR="004C5C0F" w:rsidRPr="00464BE3">
        <w:t>«Об утверждении отчета об исполнении бюджета муниципального образования «</w:t>
      </w:r>
      <w:r w:rsidR="006E6DD1" w:rsidRPr="00464BE3">
        <w:t>Зубцовский район»</w:t>
      </w:r>
      <w:r w:rsidR="004C5C0F" w:rsidRPr="00464BE3">
        <w:t xml:space="preserve"> </w:t>
      </w:r>
    </w:p>
    <w:p w:rsidR="00E320A7" w:rsidRPr="00464BE3" w:rsidRDefault="00464BE3" w:rsidP="00F4687C">
      <w:pPr>
        <w:pStyle w:val="a3"/>
      </w:pPr>
      <w:r w:rsidRPr="00464BE3">
        <w:rPr>
          <w:rFonts w:ascii="Times New Roman" w:hAnsi="Times New Roman" w:cs="Times New Roman"/>
          <w:sz w:val="24"/>
          <w:szCs w:val="24"/>
        </w:rPr>
        <w:t>за 2016</w:t>
      </w:r>
      <w:r w:rsidR="004C5C0F" w:rsidRPr="00464BE3">
        <w:rPr>
          <w:rFonts w:ascii="Times New Roman" w:hAnsi="Times New Roman" w:cs="Times New Roman"/>
          <w:sz w:val="24"/>
          <w:szCs w:val="24"/>
        </w:rPr>
        <w:t xml:space="preserve"> год</w:t>
      </w:r>
      <w:r w:rsidR="0054367D" w:rsidRPr="00464BE3">
        <w:rPr>
          <w:rFonts w:ascii="Times New Roman" w:hAnsi="Times New Roman" w:cs="Times New Roman"/>
          <w:sz w:val="24"/>
          <w:szCs w:val="24"/>
        </w:rPr>
        <w:t>»</w:t>
      </w:r>
      <w:r w:rsidR="004C5C0F" w:rsidRPr="00464BE3">
        <w:rPr>
          <w:rFonts w:ascii="Times New Roman" w:hAnsi="Times New Roman" w:cs="Times New Roman"/>
          <w:sz w:val="24"/>
          <w:szCs w:val="24"/>
        </w:rPr>
        <w:t xml:space="preserve"> от </w:t>
      </w:r>
      <w:r w:rsidRPr="00464BE3">
        <w:rPr>
          <w:rFonts w:ascii="Times New Roman" w:hAnsi="Times New Roman" w:cs="Times New Roman"/>
          <w:sz w:val="24"/>
          <w:szCs w:val="24"/>
        </w:rPr>
        <w:t>21</w:t>
      </w:r>
      <w:r w:rsidR="006E6DD1" w:rsidRPr="00464BE3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64BE3">
        <w:rPr>
          <w:rFonts w:ascii="Times New Roman" w:hAnsi="Times New Roman" w:cs="Times New Roman"/>
          <w:sz w:val="24"/>
          <w:szCs w:val="24"/>
        </w:rPr>
        <w:t xml:space="preserve"> 2017</w:t>
      </w:r>
      <w:r w:rsidR="0054367D" w:rsidRPr="00464B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5C0F" w:rsidRPr="00464BE3">
        <w:rPr>
          <w:rFonts w:ascii="Times New Roman" w:hAnsi="Times New Roman" w:cs="Times New Roman"/>
          <w:sz w:val="24"/>
          <w:szCs w:val="24"/>
        </w:rPr>
        <w:t xml:space="preserve"> </w:t>
      </w:r>
      <w:r w:rsidR="00DE4DDC" w:rsidRPr="00464BE3">
        <w:rPr>
          <w:rFonts w:ascii="Times New Roman" w:hAnsi="Times New Roman" w:cs="Times New Roman"/>
          <w:sz w:val="24"/>
          <w:szCs w:val="24"/>
        </w:rPr>
        <w:t xml:space="preserve">и </w:t>
      </w:r>
      <w:r w:rsidR="004C5C0F" w:rsidRPr="00464BE3">
        <w:rPr>
          <w:rFonts w:ascii="Times New Roman" w:hAnsi="Times New Roman" w:cs="Times New Roman"/>
          <w:sz w:val="24"/>
          <w:szCs w:val="24"/>
        </w:rPr>
        <w:t>направлено в Со</w:t>
      </w:r>
      <w:r w:rsidR="006E6DD1" w:rsidRPr="00464BE3">
        <w:rPr>
          <w:rFonts w:ascii="Times New Roman" w:hAnsi="Times New Roman" w:cs="Times New Roman"/>
          <w:sz w:val="24"/>
          <w:szCs w:val="24"/>
        </w:rPr>
        <w:t>брание</w:t>
      </w:r>
      <w:r w:rsidR="004C5C0F" w:rsidRPr="00464BE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 w:rsidRPr="00464BE3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4C5C0F" w:rsidRPr="00464BE3">
        <w:rPr>
          <w:rFonts w:ascii="Times New Roman" w:hAnsi="Times New Roman" w:cs="Times New Roman"/>
          <w:sz w:val="24"/>
          <w:szCs w:val="24"/>
        </w:rPr>
        <w:t xml:space="preserve"> </w:t>
      </w:r>
      <w:r w:rsidR="0054367D" w:rsidRPr="00464BE3">
        <w:rPr>
          <w:rFonts w:ascii="Times New Roman" w:hAnsi="Times New Roman" w:cs="Times New Roman"/>
          <w:sz w:val="24"/>
          <w:szCs w:val="24"/>
        </w:rPr>
        <w:t xml:space="preserve">и </w:t>
      </w:r>
      <w:r w:rsidR="004C5C0F" w:rsidRPr="00464BE3">
        <w:rPr>
          <w:rFonts w:ascii="Times New Roman" w:hAnsi="Times New Roman" w:cs="Times New Roman"/>
          <w:sz w:val="24"/>
          <w:szCs w:val="24"/>
        </w:rPr>
        <w:t>Финансовый отдел Администрации Зубцовского района.</w:t>
      </w:r>
    </w:p>
    <w:sectPr w:rsidR="00E320A7" w:rsidRPr="00464BE3" w:rsidSect="00F4687C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A109B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64BE3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367D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E6DD1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8113D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4DDC"/>
    <w:rsid w:val="00DF0649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2CCB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4326E"/>
    <w:rsid w:val="00F4687C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dcterms:created xsi:type="dcterms:W3CDTF">2016-01-18T07:44:00Z</dcterms:created>
  <dcterms:modified xsi:type="dcterms:W3CDTF">2017-05-02T10:07:00Z</dcterms:modified>
</cp:coreProperties>
</file>